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90" w:line="240" w:lineRule="auto"/>
        <w:ind w:left="130" w:firstLine="0"/>
        <w:rPr>
          <w:sz w:val="22"/>
          <w:szCs w:val="22"/>
        </w:rPr>
      </w:pPr>
      <w:bookmarkStart w:colFirst="0" w:colLast="0" w:name="_gjdgxs" w:id="1"/>
      <w:bookmarkEnd w:id="1"/>
      <w:r w:rsidDel="00000000" w:rsidR="00000000" w:rsidRPr="00000000">
        <w:rPr>
          <w:rFonts w:ascii="Calibri" w:cs="Calibri" w:eastAsia="Calibri" w:hAnsi="Calibri"/>
        </w:rPr>
        <w:drawing>
          <wp:inline distB="0" distT="0" distL="114300" distR="114300">
            <wp:extent cx="1422400" cy="1143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22400" cy="1143000"/>
                    </a:xfrm>
                    <a:prstGeom prst="rect"/>
                    <a:ln/>
                  </pic:spPr>
                </pic:pic>
              </a:graphicData>
            </a:graphic>
          </wp:inline>
        </w:drawing>
      </w:r>
      <w:bookmarkStart w:colFirst="0" w:colLast="0" w:name="gjdgxs" w:id="0"/>
      <w:bookmarkEnd w:id="0"/>
      <w:r w:rsidDel="00000000" w:rsidR="00000000" w:rsidRPr="00000000">
        <w:rPr>
          <w:rtl w:val="0"/>
        </w:rPr>
      </w:r>
    </w:p>
    <w:p w:rsidR="00000000" w:rsidDel="00000000" w:rsidP="00000000" w:rsidRDefault="00000000" w:rsidRPr="00000000" w14:paraId="00000002">
      <w:pPr>
        <w:jc w:val="cente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rtl w:val="0"/>
        </w:rPr>
      </w:r>
    </w:p>
    <w:bookmarkStart w:colFirst="0" w:colLast="0" w:name="1fob9te" w:id="2"/>
    <w:bookmarkEnd w:id="2"/>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[BUYER]</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[SUPPLIER]</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240.000000000002" w:type="dxa"/>
        <w:jc w:val="left"/>
        <w:tblLayout w:type="fixed"/>
        <w:tblLook w:val="0400"/>
      </w:tblPr>
      <w:tblGrid>
        <w:gridCol w:w="2538"/>
        <w:gridCol w:w="4306"/>
        <w:gridCol w:w="2396"/>
        <w:tblGridChange w:id="0">
          <w:tblGrid>
            <w:gridCol w:w="2538"/>
            <w:gridCol w:w="4306"/>
            <w:gridCol w:w="2396"/>
          </w:tblGrid>
        </w:tblGridChange>
      </w:tblGrid>
      <w:tr>
        <w:trPr>
          <w:cantSplit w:val="0"/>
          <w:tblHeader w:val="0"/>
        </w:trPr>
        <w:tc>
          <w:tcPr/>
          <w:p w:rsidR="00000000" w:rsidDel="00000000" w:rsidP="00000000" w:rsidRDefault="00000000" w:rsidRPr="00000000" w14:paraId="00000017">
            <w:pPr>
              <w:tabs>
                <w:tab w:val="left" w:leader="none" w:pos="-720"/>
              </w:tabs>
              <w:rPr>
                <w:sz w:val="22"/>
                <w:szCs w:val="22"/>
              </w:rPr>
            </w:pP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ethical walls agreement</w:t>
            </w:r>
          </w:p>
          <w:p w:rsidR="00000000" w:rsidDel="00000000" w:rsidP="00000000" w:rsidRDefault="00000000" w:rsidRPr="00000000" w14:paraId="00000019">
            <w:pPr>
              <w:tabs>
                <w:tab w:val="left" w:leader="none" w:pos="-720"/>
              </w:tabs>
              <w:jc w:val="center"/>
              <w:rPr>
                <w:sz w:val="24"/>
                <w:szCs w:val="24"/>
              </w:rPr>
            </w:pPr>
            <w:r w:rsidDel="00000000" w:rsidR="00000000" w:rsidRPr="00000000">
              <w:rPr>
                <w:rtl w:val="0"/>
              </w:rPr>
            </w:r>
          </w:p>
        </w:tc>
        <w:tc>
          <w:tcPr/>
          <w:p w:rsidR="00000000" w:rsidDel="00000000" w:rsidP="00000000" w:rsidRDefault="00000000" w:rsidRPr="00000000" w14:paraId="0000001A">
            <w:pPr>
              <w:tabs>
                <w:tab w:val="left" w:leader="none" w:pos="-720"/>
              </w:tabs>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B">
            <w:pPr>
              <w:tabs>
                <w:tab w:val="left" w:leader="none" w:pos="-720"/>
              </w:tabs>
              <w:rPr>
                <w:sz w:val="22"/>
                <w:szCs w:val="22"/>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D">
            <w:pPr>
              <w:tabs>
                <w:tab w:val="left" w:leader="none" w:pos="-720"/>
              </w:tabs>
              <w:rPr>
                <w:sz w:val="22"/>
                <w:szCs w:val="22"/>
              </w:rPr>
            </w:pPr>
            <w:r w:rsidDel="00000000" w:rsidR="00000000" w:rsidRPr="00000000">
              <w:rPr>
                <w:rtl w:val="0"/>
              </w:rPr>
            </w:r>
          </w:p>
        </w:tc>
      </w:tr>
    </w:tbl>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rPr>
          <w:sz w:val="22"/>
          <w:szCs w:val="22"/>
        </w:rPr>
      </w:pPr>
      <w:r w:rsidDel="00000000" w:rsidR="00000000" w:rsidRPr="00000000">
        <w:rPr>
          <w:rtl w:val="0"/>
        </w:rPr>
      </w:r>
    </w:p>
    <w:p w:rsidR="00000000" w:rsidDel="00000000" w:rsidP="00000000" w:rsidRDefault="00000000" w:rsidRPr="00000000" w14:paraId="00000020">
      <w:pPr>
        <w:jc w:val="center"/>
        <w:rPr>
          <w:sz w:val="22"/>
          <w:szCs w:val="22"/>
        </w:rPr>
      </w:pPr>
      <w:r w:rsidDel="00000000" w:rsidR="00000000" w:rsidRPr="00000000">
        <w:rPr>
          <w:rtl w:val="0"/>
        </w:rPr>
      </w:r>
    </w:p>
    <w:p w:rsidR="00000000" w:rsidDel="00000000" w:rsidP="00000000" w:rsidRDefault="00000000" w:rsidRPr="00000000" w14:paraId="00000021">
      <w:pPr>
        <w:jc w:val="center"/>
        <w:rPr>
          <w:sz w:val="22"/>
          <w:szCs w:val="22"/>
        </w:rPr>
      </w:pPr>
      <w:r w:rsidDel="00000000" w:rsidR="00000000" w:rsidRPr="00000000">
        <w:rPr>
          <w:rtl w:val="0"/>
        </w:rPr>
      </w:r>
    </w:p>
    <w:p w:rsidR="00000000" w:rsidDel="00000000" w:rsidP="00000000" w:rsidRDefault="00000000" w:rsidRPr="00000000" w14:paraId="00000022">
      <w:pPr>
        <w:jc w:val="center"/>
        <w:rPr>
          <w:sz w:val="22"/>
          <w:szCs w:val="22"/>
        </w:rPr>
      </w:pPr>
      <w:r w:rsidDel="00000000" w:rsidR="00000000" w:rsidRPr="00000000">
        <w:rPr>
          <w:rtl w:val="0"/>
        </w:rPr>
      </w:r>
    </w:p>
    <w:p w:rsidR="00000000" w:rsidDel="00000000" w:rsidP="00000000" w:rsidRDefault="00000000" w:rsidRPr="00000000" w14:paraId="00000023">
      <w:pPr>
        <w:jc w:val="center"/>
        <w:rPr>
          <w:sz w:val="22"/>
          <w:szCs w:val="22"/>
        </w:rPr>
      </w:pPr>
      <w:r w:rsidDel="00000000" w:rsidR="00000000" w:rsidRPr="00000000">
        <w:rPr>
          <w:rtl w:val="0"/>
        </w:rPr>
      </w:r>
    </w:p>
    <w:p w:rsidR="00000000" w:rsidDel="00000000" w:rsidP="00000000" w:rsidRDefault="00000000" w:rsidRPr="00000000" w14:paraId="00000024">
      <w:pPr>
        <w:jc w:val="center"/>
        <w:rPr>
          <w:sz w:val="22"/>
          <w:szCs w:val="22"/>
        </w:rPr>
      </w:pPr>
      <w:r w:rsidDel="00000000" w:rsidR="00000000" w:rsidRPr="00000000">
        <w:rPr>
          <w:rtl w:val="0"/>
        </w:rPr>
      </w:r>
    </w:p>
    <w:p w:rsidR="00000000" w:rsidDel="00000000" w:rsidP="00000000" w:rsidRDefault="00000000" w:rsidRPr="00000000" w14:paraId="00000025">
      <w:pPr>
        <w:jc w:val="center"/>
        <w:rPr>
          <w:sz w:val="22"/>
          <w:szCs w:val="22"/>
        </w:rPr>
      </w:pPr>
      <w:r w:rsidDel="00000000" w:rsidR="00000000" w:rsidRPr="00000000">
        <w:rPr>
          <w:rtl w:val="0"/>
        </w:rPr>
      </w:r>
    </w:p>
    <w:p w:rsidR="00000000" w:rsidDel="00000000" w:rsidP="00000000" w:rsidRDefault="00000000" w:rsidRPr="00000000" w14:paraId="00000026">
      <w:pPr>
        <w:jc w:val="center"/>
        <w:rPr>
          <w:sz w:val="22"/>
          <w:szCs w:val="22"/>
        </w:rPr>
      </w:pPr>
      <w:r w:rsidDel="00000000" w:rsidR="00000000" w:rsidRPr="00000000">
        <w:rPr>
          <w:rtl w:val="0"/>
        </w:rPr>
      </w:r>
    </w:p>
    <w:p w:rsidR="00000000" w:rsidDel="00000000" w:rsidP="00000000" w:rsidRDefault="00000000" w:rsidRPr="00000000" w14:paraId="00000027">
      <w:pPr>
        <w:jc w:val="center"/>
        <w:rPr>
          <w:sz w:val="22"/>
          <w:szCs w:val="22"/>
        </w:rPr>
      </w:pPr>
      <w:r w:rsidDel="00000000" w:rsidR="00000000" w:rsidRPr="00000000">
        <w:rPr>
          <w:rtl w:val="0"/>
        </w:rPr>
      </w:r>
    </w:p>
    <w:p w:rsidR="00000000" w:rsidDel="00000000" w:rsidP="00000000" w:rsidRDefault="00000000" w:rsidRPr="00000000" w14:paraId="00000028">
      <w:pPr>
        <w:jc w:val="center"/>
        <w:rPr>
          <w:sz w:val="22"/>
          <w:szCs w:val="22"/>
        </w:rPr>
      </w:pPr>
      <w:r w:rsidDel="00000000" w:rsidR="00000000" w:rsidRPr="00000000">
        <w:rPr>
          <w:rtl w:val="0"/>
        </w:rPr>
      </w:r>
    </w:p>
    <w:p w:rsidR="00000000" w:rsidDel="00000000" w:rsidP="00000000" w:rsidRDefault="00000000" w:rsidRPr="00000000" w14:paraId="00000029">
      <w:pPr>
        <w:jc w:val="center"/>
        <w:rPr>
          <w:sz w:val="22"/>
          <w:szCs w:val="22"/>
        </w:rPr>
      </w:pPr>
      <w:r w:rsidDel="00000000" w:rsidR="00000000" w:rsidRPr="00000000">
        <w:rPr>
          <w:rtl w:val="0"/>
        </w:rPr>
      </w:r>
    </w:p>
    <w:p w:rsidR="00000000" w:rsidDel="00000000" w:rsidP="00000000" w:rsidRDefault="00000000" w:rsidRPr="00000000" w14:paraId="0000002A">
      <w:pPr>
        <w:jc w:val="center"/>
        <w:rPr>
          <w:sz w:val="22"/>
          <w:szCs w:val="22"/>
        </w:rPr>
        <w:sectPr>
          <w:footerReference r:id="rId7" w:type="default"/>
          <w:footerReference r:id="rId8" w:type="first"/>
          <w:pgSz w:h="16834" w:w="11909" w:orient="portrait"/>
          <w:pgMar w:bottom="1440" w:top="1440" w:left="1440" w:right="1440" w:header="720" w:footer="471"/>
          <w:pgNumType w:start="1"/>
        </w:sect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90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8"/>
        <w:gridCol w:w="6591"/>
        <w:tblGridChange w:id="0">
          <w:tblGrid>
            <w:gridCol w:w="2428"/>
            <w:gridCol w:w="659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DRAFTING INSTRUCTIONS: ETHICAL WALLS AGREEMENT</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[DELETE THIS INSTRUCTION TABLE BEFORE CIRCULATING]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Applicability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standard document has been written from the perspective of the Buyer. Its intended use is as an ethical walls agreement between a Government Department and an incumbent company which intends to submit a tender for a Further Competition Procedure for the Deliverables in question.  It will need amending if one of the parties is an individual, partnership or a limited liability partnership (LLP).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 10.1 should be completed with the appropriate period of time being at least as long as the Further Competition Procedure will take to be completed.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Context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document is a template and may require amendment to suit the circumstances of the transaction you are working on.  Please ensure that this document is used in the correct context and amended to reflect that context where necessary. If you are using it as part of a suite of documents make sure that you have amended it to reflect the deal you are working 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Required action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Highlighted text in this document requires action as follows: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Optional provision to be deleted if not required or amended to reflect the circumstances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to be inserted.</w:t>
            </w:r>
          </w:p>
        </w:tc>
      </w:tr>
    </w:tbl>
    <w:p w:rsidR="00000000" w:rsidDel="00000000" w:rsidP="00000000" w:rsidRDefault="00000000" w:rsidRPr="00000000" w14:paraId="0000003B">
      <w:pPr>
        <w:spacing w:after="200" w:lineRule="auto"/>
        <w:ind w:left="1418" w:firstLine="0"/>
        <w:rPr>
          <w:sz w:val="22"/>
          <w:szCs w:val="22"/>
          <w:highlight w:val="green"/>
        </w:rPr>
      </w:pPr>
      <w:r w:rsidDel="00000000" w:rsidR="00000000" w:rsidRPr="00000000">
        <w:rPr>
          <w:rtl w:val="0"/>
        </w:rPr>
      </w:r>
    </w:p>
    <w:p w:rsidR="00000000" w:rsidDel="00000000" w:rsidP="00000000" w:rsidRDefault="00000000" w:rsidRPr="00000000" w14:paraId="0000003C">
      <w:pPr>
        <w:spacing w:line="360" w:lineRule="auto"/>
        <w:rPr>
          <w:b w:val="1"/>
          <w:sz w:val="22"/>
          <w:szCs w:val="22"/>
        </w:rPr>
      </w:pPr>
      <w:r w:rsidDel="00000000" w:rsidR="00000000" w:rsidRPr="00000000">
        <w:rPr>
          <w:b w:val="1"/>
          <w:sz w:val="22"/>
          <w:szCs w:val="22"/>
          <w:rtl w:val="0"/>
        </w:rPr>
        <w:t xml:space="preserve">Version history:</w:t>
      </w:r>
    </w:p>
    <w:p w:rsidR="00000000" w:rsidDel="00000000" w:rsidP="00000000" w:rsidRDefault="00000000" w:rsidRPr="00000000" w14:paraId="0000003D">
      <w:pPr>
        <w:rPr>
          <w:sz w:val="22"/>
          <w:szCs w:val="22"/>
          <w:highlight w:val="cyan"/>
        </w:rPr>
      </w:pPr>
      <w:r w:rsidDel="00000000" w:rsidR="00000000" w:rsidRPr="00000000">
        <w:rPr>
          <w:rtl w:val="0"/>
        </w:rPr>
      </w:r>
    </w:p>
    <w:p w:rsidR="00000000" w:rsidDel="00000000" w:rsidP="00000000" w:rsidRDefault="00000000" w:rsidRPr="00000000" w14:paraId="0000003E">
      <w:pPr>
        <w:rPr>
          <w:sz w:val="22"/>
          <w:szCs w:val="22"/>
        </w:rPr>
      </w:pPr>
      <w:r w:rsidDel="00000000" w:rsidR="00000000" w:rsidRPr="00000000">
        <w:rPr>
          <w:sz w:val="22"/>
          <w:szCs w:val="22"/>
          <w:rtl w:val="0"/>
        </w:rPr>
        <w:t xml:space="preserve">Document last reviewed by GLD on 1 March 2020</w:t>
      </w:r>
    </w:p>
    <w:p w:rsidR="00000000" w:rsidDel="00000000" w:rsidP="00000000" w:rsidRDefault="00000000" w:rsidRPr="00000000" w14:paraId="0000003F">
      <w:pPr>
        <w:spacing w:line="240" w:lineRule="auto"/>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This Agreement is dated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tab/>
        <w:tab/>
        <w:t xml:space="preserve">] 20[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Between</w:t>
      </w:r>
    </w:p>
    <w:p w:rsidR="00000000" w:rsidDel="00000000" w:rsidP="00000000" w:rsidRDefault="00000000" w:rsidRPr="00000000" w14:paraId="000000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[INSERT NAME OF 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[acting on behalf of the Crown] of [insert Buyer’s address]; and</w:t>
      </w:r>
    </w:p>
    <w:bookmarkStart w:colFirst="0" w:colLast="0" w:name="3znysh7" w:id="3"/>
    <w:bookmarkEnd w:id="3"/>
    <w:p w:rsidR="00000000" w:rsidDel="00000000" w:rsidP="00000000" w:rsidRDefault="00000000" w:rsidRPr="00000000" w14:paraId="000000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[NAME OF SUPPLIER]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[company]/[limited liability partnership] registered in England and Wales under registered number [insert registered number] whose registered office is at [insert Supplier’s registered address]</w:t>
      </w:r>
      <w:r w:rsidDel="00000000" w:rsidR="00000000" w:rsidRPr="00000000">
        <w:rPr>
          <w:rFonts w:ascii="SimSun" w:cs="SimSun" w:eastAsia="SimSun" w:hAnsi="SimSun"/>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each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BACKGROUND</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obliged to ensure transparency, fairness, non-discrimination and equal treatment in relation to its procurement process pursuant to the Public Contracts Regulations 2015 (as amended)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PCR)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purpose of this document ("Agreement") is to define the protocols to be followed to prevent, identify and remedy any conflict of interest (whether actual, potential or perceived) in the context of the Further Competition Procedure.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conducting a Further Procurement Procedure for the supply of Digital Capability for Health Deliverables under a Call-Off Contract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“Purpose”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has an obligation to deal with conflicts of interest as set out in Regulation 24 (1) of the PCR. The concept of conflict of interest is wide. In the PCR it is described as covering at least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"any situation where relevant staff members have, directly or indirectly, a financial, economic or other personal interest which might be perceived to compromise their impartiality and independence in the context of the procurement procedure"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(Regulation 24(2)).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"Staff members"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refers to staff members of the Buyer or of a procurement service provider acting on behalf of the Buyer who are involved in the conduct of the procurement procedure or may influence the outcome of that procedure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"Procurement service provider"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refers to a public or private body which offers ancillary purchasing activities on the market.</w:t>
      </w:r>
    </w:p>
    <w:p w:rsidR="00000000" w:rsidDel="00000000" w:rsidP="00000000" w:rsidRDefault="00000000" w:rsidRPr="00000000" w14:paraId="0000004B">
      <w:pPr>
        <w:spacing w:line="360" w:lineRule="auto"/>
        <w:rPr>
          <w:sz w:val="22"/>
          <w:szCs w:val="22"/>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Pursuant to Regulation 41 of the PCR, the Buyer is under an obligation to ensure that competition is not distorted by the participation of any Framework Contract supplier acting as a bidder in a further competition procedure. Accordingly, the Buyer has identified that a potential distortion of competition could arise as a consequence of a bidder wishing to submit a Tender for this Further Competition Procedure, where it has also performed services for the Buyer under existing contractual arrangements or as a subcontractor under those same arrangements.</w:t>
      </w:r>
    </w:p>
    <w:p w:rsidR="00000000" w:rsidDel="00000000" w:rsidP="00000000" w:rsidRDefault="00000000" w:rsidRPr="00000000" w14:paraId="0000004D">
      <w:pPr>
        <w:spacing w:line="360" w:lineRule="auto"/>
        <w:rPr>
          <w:sz w:val="22"/>
          <w:szCs w:val="22"/>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IT IS AGREED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tyjcwt" w:id="5"/>
      <w:bookmarkEnd w:id="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DEFINITIONS AND INTERPRETATION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words and expressions shall have the following meanings in this agreement and its recitals: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Affiliate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in relation to a body corporate, any other entity which directly or indirectly Controls, is Controlled by, or is under direct or indirect common Control of that body corporate from time to time;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this ethical walls agreement duly executed by the Parties;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Bid Team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Supplier, Affiliate, connected to the preparation of an FCP Response;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556" w:right="617"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Central Government Body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Government Department;</w:t>
      </w:r>
    </w:p>
    <w:p w:rsidR="00000000" w:rsidDel="00000000" w:rsidP="00000000" w:rsidRDefault="00000000" w:rsidRPr="00000000" w14:paraId="0000005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5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Non-Ministerial Department; or</w:t>
      </w:r>
    </w:p>
    <w:p w:rsidR="00000000" w:rsidDel="00000000" w:rsidP="00000000" w:rsidRDefault="00000000" w:rsidRPr="00000000" w14:paraId="0000005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Executive Agency;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360" w:lineRule="auto"/>
        <w:ind w:left="91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Conflicted Personnel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Supplier, Affiliate, staff or agents of the Supplier or an Affiliate who, because of the Supplier’s relationship with the Buyer under any Contract have or have had access to information which creates or may create a conflict of interest;</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[contract for [                              ]] dated [      ] between the Buyer and the Supplier and/or an Affiliate;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beneficial ownership of more than 50% of the issued share capital of a company or the legal power to direct or cause the direction of the management of the company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interpreted accordingly;</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Effective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date of this Agreement as set out above;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Further Competition Procedure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FCP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 invitation to submit tenders issued by the Buyer as part of an FCP Process;</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FCP Process”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with regard to the Purpose, the relevant procedure provided for in Framework Schedule 7 (Call-Off Award Procedure) of RM6221 Framework Contract which the Buyer has elected to use to select a contractor, together with all relevant information, correspondence and/or documents issued by the Buyer as part of that procurement exercise, all information, correspondence and/or documents issued by the bidders in response together with any resulting contract;</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“FCP 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tender submitted or to be submitted by the Supplier or an Affiliate [(or, where relevant, by an Other Bidder)] in response to an FCP;</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1"/>
          <w:i w:val="0"/>
          <w:smallCaps w:val="0"/>
          <w:strike w:val="0"/>
          <w:color w:val="000000"/>
          <w:sz w:val="22"/>
          <w:szCs w:val="22"/>
          <w:highlight w:val="yellow"/>
          <w:u w:val="none"/>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 Affiliate”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person who is a subsidiary, subsidiary undertaking or holding company of any Other Bidder;</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 Bidder”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other bidder or potential bidder that is not the Supplier or any Affiliate that has or is taking part in the FCP Process;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Buyer and the Supplier;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Professional Advisor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 supplier, subcontractor, advisor or consultant engaged by the Supplier under the auspices of compiling its FCP Response;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Purpose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recital B to this Agreement;</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Representative"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refers to a person's officers, directors, employees, advisers and agents and, where the context admits, providers or potential providers of finance to the Supplier or any Affiliate in connection with the FCP Process and the representatives of such providers or potential providers of finance; and</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Third Party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person who is not a Party and includes Other Affiliates and Other Bidders. </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the disclosure of information includes any communication or making available information and includes both direct and indirect disclosure.</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the disclosure of information, or provision of access, by or to the Buyer or the Supplier includes disclosure, or provision of access, by or to the representatives of the Buyer or Representatives of the Supplier (as the case may be).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persons includes legal and natural persons.</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any enactment is to that enactment as amended, supplemented, re-enacted or replaced from time to time.</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clauses and recitals is to clauses of and recitals to this Agreement.</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any gender includes any other.</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writing includes email.</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words “include” and “including” are to be construed without limitation.</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singular includes the plural and vice versa.</w:t>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headings contained in this Agreement shall not affect its construction or interpretation.</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3dy6vkm" w:id="6"/>
      <w:bookmarkEnd w:id="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ETHICAL WALLS</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consideration of the sum of £1 payable by the Buyer to the Supplier, receipt of which is hereby acknowledged, the Supplier:</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take all appropriate steps to ensure that neither the Supplier nor its Affiliates and/or Representatives are in a position where, in the reasonable opinion of the Buyer, there is or may be an actual conflict, or a potential conflict, between the pecuniary or personal interests of the Supplier or its Affiliates or Representatives and the duties owed to the Buyer under the Contract or pursuant to an fair and transparent FCP Process;</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acknowledges and agrees that a conflict of interest may arise in situations where the Supplier or an Affiliate intends to take part in the FCP Process and, because of the Supplier’s relationship with the Buyer under any Contract, the Supplier, its Affiliates and/or Representatives have or have had access to information which could provide the Supplier and/or its Affiliates with an advantage and render unfair an otherwise genuine and fair competitive FCP Process; and </w:t>
      </w:r>
    </w:p>
    <w:p w:rsidR="00000000" w:rsidDel="00000000" w:rsidP="00000000" w:rsidRDefault="00000000" w:rsidRPr="00000000" w14:paraId="0000007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there is or is likely to be a conflict of interest or the perception of a conflict of interest of any kind in relation to the FCP Process, shall comply with Clause 2.2.</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assign any of the Conflicted Personnel to the Bid Team at any time;</w:t>
      </w:r>
    </w:p>
    <w:p w:rsidR="00000000" w:rsidDel="00000000" w:rsidP="00000000" w:rsidRDefault="00000000" w:rsidRPr="00000000" w14:paraId="0000007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to the Buyer a complete and up to date list of the Conflicted Personnel and the Bid Team and reissue such list upon any change to it;</w:t>
      </w:r>
    </w:p>
    <w:p w:rsidR="00000000" w:rsidDel="00000000" w:rsidP="00000000" w:rsidRDefault="00000000" w:rsidRPr="00000000" w14:paraId="0000007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by no act or omission by itself, its staff, agents and/or Affiliates results in information of any kind or in any format and however so stored:</w:t>
      </w:r>
    </w:p>
    <w:p w:rsidR="00000000" w:rsidDel="00000000" w:rsidP="00000000" w:rsidRDefault="00000000" w:rsidRPr="00000000" w14:paraId="0000007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40" w:before="0" w:line="360" w:lineRule="auto"/>
        <w:ind w:left="2127" w:right="0" w:hanging="70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about the Contract, its performance, operation and all matters connected or ancillary to it becoming available to the Bid Team; and/or </w:t>
      </w:r>
    </w:p>
    <w:p w:rsidR="00000000" w:rsidDel="00000000" w:rsidP="00000000" w:rsidRDefault="00000000" w:rsidRPr="00000000" w14:paraId="0000007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40" w:before="0" w:line="360" w:lineRule="auto"/>
        <w:ind w:left="2127" w:right="0" w:hanging="70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would or could in the opinion of the Buyer confer an unfair advantage on the Supplier in relation to its participation in the FCP Process becoming available to the Bid Team;</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by no act or omission by itself, its staff, agents and/or Affiliates and in particular the Bid Team results in information of any kind or in any format and however so stored about the FCP Process, its operation and all matters connected or ancillary to it becoming available to the Conflicted Personnel; </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confidentiality agreements which flow down the Supplier’s obligations in this Agreement are entered into as necessary between the Buyer and the Supplier, its Affiliates, its staff, agents, any Conflicted Personnel, and between any other parties necessary in a form to be prescribed by the Buyer;</w:t>
      </w:r>
    </w:p>
    <w:p w:rsidR="00000000" w:rsidDel="00000000" w:rsidP="00000000" w:rsidRDefault="00000000" w:rsidRPr="00000000" w14:paraId="0000008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physically separate the Conflicted Personnel and the Bid Team, either in separate buildings or in areas with restricted access;</w:t>
      </w:r>
    </w:p>
    <w:p w:rsidR="00000000" w:rsidDel="00000000" w:rsidP="00000000" w:rsidRDefault="00000000" w:rsidRPr="00000000" w14:paraId="0000008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regular training to its staff, agents and its Affiliates to ensure it is complying with this Agreement;</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monitor Conflicted Personnel movements within restricted areas (both physical and electronic online areas) to ensure it is complying with this Agreement ensure adherence to the ethical wall arrangements;</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Conflicted Personnel and the Bid Team are line managed and report independently of each other; and</w:t>
      </w:r>
    </w:p>
    <w:p w:rsidR="00000000" w:rsidDel="00000000" w:rsidP="00000000" w:rsidRDefault="00000000" w:rsidRPr="00000000" w14:paraId="0000008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any other action as the Buyer, acting reasonably, may direct.</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the obligations set out in Clause 2.1.1 and 2.1.3, the Supplier shall:</w:t>
      </w:r>
    </w:p>
    <w:p w:rsidR="00000000" w:rsidDel="00000000" w:rsidP="00000000" w:rsidRDefault="00000000" w:rsidRPr="00000000" w14:paraId="0000008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immediately of all perceived, potential and/or actual conflicts of interest that arise;</w:t>
      </w:r>
    </w:p>
    <w:p w:rsidR="00000000" w:rsidDel="00000000" w:rsidP="00000000" w:rsidRDefault="00000000" w:rsidRPr="00000000" w14:paraId="0000008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submit in writing to the Buyer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Supplier’s plans to prevent future conflicts of interests from arising; and </w:t>
      </w:r>
    </w:p>
    <w:p w:rsidR="00000000" w:rsidDel="00000000" w:rsidP="00000000" w:rsidRDefault="00000000" w:rsidRPr="00000000" w14:paraId="0000008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seek the Buyer’s approval thereto,</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18"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the Buyer shall have the right to grant, grant conditionally or deny (if the Buyer denies its approval the Supplier shall repeat the process set out in clause 2.3 until such time as the Buyer grants approval or the Supplier withdraws from the FCP Process).</w:t>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breach of Clause 2.1, Clause 2.2 or Clause 2.3 shall entitle the Buyer to exclude the Supplier or any Affiliate or Representative from the FCP Process, and the Buyer may, in addition to the right to exclude, take such other steps as it deems necessary where, in the reasonable opinion of the Buyer there has been a breach of Clause 2.1, Clause 2.2 or Clause 2.3. </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on demand, any and all information in relation to its adherence with its obligations set out under Clauses 2.1 and 2.2 as reasonably requested by the Buyer.</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reserves the right to require the Supplier to demonstrate the measures put in place by the Supplier under Clauses 2.1.3 and 2.2.</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any provision of information or demonstration of measures, in accordance with Clauses 2.5 and 2.6, does not constitute acceptance by the Buyer of the adequacy of such measures and does not discharge the Supplier of its obligations or liability under this Agreement.</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actions of the Buyer pursuant to Clause 2.4 shall not prejudice or affect any right of action or remedy which shall have accrued or shall thereafter accrue to the Buyer.</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no event shall the Buyer be liable for any bid costs incurred by:</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or any Affiliate or Representative; or</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Bidder, Other Affiliate or Other Representative,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result of any breach by the Supplier, Affiliate or Representative of this Agreement, including, without limitation, where the Supplier or any Affiliate or Representative, or any Other Bidder, Other Affiliate or Other Representative are excluded from the FCP Process.</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and agrees that:</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neither damages nor specific performance are adequate remedies in the event of its breach of the obligations in Clause 2;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of such breach by the Supplier of any of its obligations in Clause 2 which cannot be effectively remedied the Buyer shall have the right to terminate this Agreement and the Supplier’s participation in the FCP Process.  </w:t>
      </w:r>
    </w:p>
    <w:p w:rsidR="00000000" w:rsidDel="00000000" w:rsidP="00000000" w:rsidRDefault="00000000" w:rsidRPr="00000000" w14:paraId="0000009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44sinio" w:id="16"/>
      <w:bookmarkEnd w:id="1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SOLE RESPONSIBILITY</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the sole responsibility of the Supplier to comply with the terms of this Agreement.  No approval by the Buyer of any procedures, agreements or arrangements provided by the Supplier or any Affiliate or Representative to the Buyer shall discharge the Supplier’s obligations.</w:t>
      </w:r>
    </w:p>
    <w:p w:rsidR="00000000" w:rsidDel="00000000" w:rsidP="00000000" w:rsidRDefault="00000000" w:rsidRPr="00000000" w14:paraId="0000009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2jxsxqh" w:id="17"/>
      <w:bookmarkEnd w:id="1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WAIVER AND INVALIDITY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z337ya"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rsidR="00000000" w:rsidDel="00000000" w:rsidP="00000000" w:rsidRDefault="00000000" w:rsidRPr="00000000" w14:paraId="0000009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ASSIGNMENT AND NOVATION</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Clause 5.2 the Parties shall not assign, novate or otherwise dispose of or create any trust in relation to any or all of its rights, obligations or liabilities under this Agreement without the prior written consent of the Buyer.</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assign, novate or otherwise dispose of any or all of its rights, obligations and liabilities under this Agreement and/or any associated licences to:</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Central Government Body; or</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 body other than a Central Government Body (including any private sector body) which performs any of the functions that previously had been performed by the Authority; and </w:t>
      </w:r>
    </w:p>
    <w:p w:rsidR="00000000" w:rsidDel="00000000" w:rsidP="00000000" w:rsidRDefault="00000000" w:rsidRPr="00000000" w14:paraId="000000A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the Buyer’s request, enter into a novation agreement in such form as the Buyer reasonably specify in order to enable the Buyer to exercise its rights pursuant to this Clause 5.</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change in the legal status of the Buyer such that it ceases to be a Central Government Body shall not affect the validity of this Agreement and this Agreement shall be binding on any successor body to the Buyer.</w:t>
      </w:r>
    </w:p>
    <w:p w:rsidR="00000000" w:rsidDel="00000000" w:rsidP="00000000" w:rsidRDefault="00000000" w:rsidRPr="00000000" w14:paraId="000000A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1y810tw" w:id="20"/>
      <w:bookmarkEnd w:id="2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CONTRACTS (RIGHTS OF THIRD PARTIES) ACT 1999</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rsidR="00000000" w:rsidDel="00000000" w:rsidP="00000000" w:rsidRDefault="00000000" w:rsidRPr="00000000" w14:paraId="000000A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TRANSPARENCY </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and agree that the Buyer is under a legal duty pursuant to the PCR to run transparent and fair procurement processes.  Accordingly, the Buyer may disclose the contents of this Agreement to potential bidders in the FCP Process, for the purposes of transparency and in order to evidence that a fair procurement process has been followed.  </w:t>
      </w:r>
    </w:p>
    <w:p w:rsidR="00000000" w:rsidDel="00000000" w:rsidP="00000000" w:rsidRDefault="00000000" w:rsidRPr="00000000" w14:paraId="000000A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4i7ojhp" w:id="21"/>
      <w:bookmarkEnd w:id="2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NOTICES</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notices sent under this Agreement must be in writing.</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table sets out the method by which notices may be served under this Agreement and the respective deemed time and proof of service:</w:t>
      </w:r>
    </w:p>
    <w:tbl>
      <w:tblPr>
        <w:tblStyle w:val="Table3"/>
        <w:tblW w:w="8344.0" w:type="dxa"/>
        <w:jc w:val="left"/>
        <w:tblInd w:w="6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4"/>
        <w:gridCol w:w="2614"/>
        <w:gridCol w:w="3096"/>
        <w:tblGridChange w:id="0">
          <w:tblGrid>
            <w:gridCol w:w="2634"/>
            <w:gridCol w:w="2614"/>
            <w:gridCol w:w="3096"/>
          </w:tblGrid>
        </w:tblGridChange>
      </w:tblGrid>
      <w:tr>
        <w:trPr>
          <w:cantSplit w:val="1"/>
          <w:trHeight w:val="799" w:hRule="atLeast"/>
          <w:tblHeader w:val="1"/>
        </w:trPr>
        <w:tc>
          <w:tcPr>
            <w:shd w:fill="d9d9d9"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83"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Manner of Delivery</w:t>
            </w:r>
          </w:p>
        </w:tc>
        <w:tc>
          <w:tcPr>
            <w:shd w:fill="d9d9d9" w:val="cle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1"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Deemed time of service </w:t>
            </w:r>
          </w:p>
        </w:tc>
        <w:tc>
          <w:tcPr>
            <w:shd w:fill="d9d9d9"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8"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Proof of service</w:t>
            </w:r>
          </w:p>
        </w:tc>
      </w:tr>
      <w:tr>
        <w:trPr>
          <w:cantSplit w:val="1"/>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360" w:lineRule="auto"/>
              <w:ind w:left="83"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 </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9.00am on the first Working Day after sending</w:t>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360" w:lineRule="auto"/>
              <w:ind w:left="5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Dispatched as a pdf attachment to an e-mail to the correct e-mail address without any error message. </w:t>
            </w:r>
          </w:p>
        </w:tc>
      </w:tr>
      <w:tr>
        <w:trPr>
          <w:cantSplit w:val="1"/>
          <w:tblHeader w:val="0"/>
        </w:trPr>
        <w:tc>
          <w:tcPr>
            <w:shd w:fill="ffffff"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Personal delivery</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delivery, provided delivery is between 9.00am and 5.00pm on a Working Day. Otherwise, delivery will occur at 9.00am on the next Working Day.</w:t>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Properly addressed and delivered as evidenced by signature of a delivery receipt. </w:t>
            </w:r>
          </w:p>
        </w:tc>
      </w:tr>
      <w:tr>
        <w:trPr>
          <w:cantSplit w:val="1"/>
          <w:tblHeader w:val="0"/>
        </w:trPr>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Prepaid, Royal Mail Signed For™ 1</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Class or other prepaid, next working day service providing proof of delivery.</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time recorded by the delivery service, provided that delivery is between 9.00am and 5.00pm on a Working Day. Otherwise, delivery will occur at 9.00am on the same Working Day (if delivery before 9.00am) or on the next Working Day (if after 5.00pm).</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Properly addressed prepaid and delivered as evidenced by signature of a delivery receipt.</w:t>
            </w:r>
          </w:p>
        </w:tc>
      </w:tr>
    </w:tbl>
    <w:p w:rsidR="00000000" w:rsidDel="00000000" w:rsidP="00000000" w:rsidRDefault="00000000" w:rsidRPr="00000000" w14:paraId="000000B7">
      <w:pPr>
        <w:pStyle w:val="Heading2"/>
        <w:spacing w:line="360" w:lineRule="auto"/>
        <w:ind w:left="0" w:firstLine="0"/>
        <w:rPr>
          <w:sz w:val="22"/>
          <w:szCs w:val="22"/>
        </w:rPr>
      </w:pPr>
      <w:r w:rsidDel="00000000" w:rsidR="00000000" w:rsidRPr="00000000">
        <w:rPr>
          <w:rtl w:val="0"/>
        </w:rPr>
      </w:r>
    </w:p>
    <w:p w:rsidR="00000000" w:rsidDel="00000000" w:rsidP="00000000" w:rsidRDefault="00000000" w:rsidRPr="00000000" w14:paraId="000000B8">
      <w:pPr>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Notices shall be sent to the addresses set out below or at such other address as the relevant Party may give notice to the other Party for the purpose of service of notices under this Agreement:</w:t>
      </w:r>
    </w:p>
    <w:tbl>
      <w:tblPr>
        <w:tblStyle w:val="Table4"/>
        <w:tblW w:w="8349.0" w:type="dxa"/>
        <w:jc w:val="left"/>
        <w:tblInd w:w="6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2834"/>
        <w:gridCol w:w="2887"/>
        <w:tblGridChange w:id="0">
          <w:tblGrid>
            <w:gridCol w:w="2628"/>
            <w:gridCol w:w="2834"/>
            <w:gridCol w:w="2887"/>
          </w:tblGrid>
        </w:tblGridChange>
      </w:tblGrid>
      <w:tr>
        <w:trPr>
          <w:cantSplit w:val="1"/>
          <w:tblHeader w:val="0"/>
        </w:trPr>
        <w:tc>
          <w:tcPr>
            <w:tcBorders>
              <w:top w:color="000000" w:space="0" w:sz="0" w:val="nil"/>
              <w:left w:color="000000" w:space="0" w:sz="0" w:val="nil"/>
            </w:tcBorders>
          </w:tcPr>
          <w:p w:rsidR="00000000" w:rsidDel="00000000" w:rsidP="00000000" w:rsidRDefault="00000000" w:rsidRPr="00000000" w14:paraId="000000B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d9d9d9" w:val="clear"/>
          </w:tcPr>
          <w:p w:rsidR="00000000" w:rsidDel="00000000" w:rsidP="00000000" w:rsidRDefault="00000000" w:rsidRPr="00000000" w14:paraId="000000BA">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w:t>
            </w:r>
          </w:p>
        </w:tc>
        <w:tc>
          <w:tcPr>
            <w:shd w:fill="d9d9d9" w:val="clear"/>
          </w:tcPr>
          <w:p w:rsidR="00000000" w:rsidDel="00000000" w:rsidP="00000000" w:rsidRDefault="00000000" w:rsidRPr="00000000" w14:paraId="000000B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w:t>
            </w:r>
          </w:p>
        </w:tc>
      </w:tr>
      <w:tr>
        <w:trPr>
          <w:cantSplit w:val="1"/>
          <w:tblHeader w:val="0"/>
        </w:trPr>
        <w:tc>
          <w:tcPr>
            <w:shd w:fill="d9d9d9" w:val="clear"/>
          </w:tcPr>
          <w:p w:rsidR="00000000" w:rsidDel="00000000" w:rsidP="00000000" w:rsidRDefault="00000000" w:rsidRPr="00000000" w14:paraId="000000B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Contact</w:t>
            </w:r>
          </w:p>
        </w:tc>
        <w:tc>
          <w:tcPr/>
          <w:p w:rsidR="00000000" w:rsidDel="00000000" w:rsidP="00000000" w:rsidRDefault="00000000" w:rsidRPr="00000000" w14:paraId="000000B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B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85" w:hRule="atLeast"/>
          <w:tblHeader w:val="0"/>
        </w:trPr>
        <w:tc>
          <w:tcPr>
            <w:shd w:fill="d9d9d9" w:val="clear"/>
          </w:tcPr>
          <w:p w:rsidR="00000000" w:rsidDel="00000000" w:rsidP="00000000" w:rsidRDefault="00000000" w:rsidRPr="00000000" w14:paraId="000000B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Address</w:t>
            </w:r>
          </w:p>
        </w:tc>
        <w:tc>
          <w:tcPr/>
          <w:p w:rsidR="00000000" w:rsidDel="00000000" w:rsidP="00000000" w:rsidRDefault="00000000" w:rsidRPr="00000000" w14:paraId="000000C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shd w:fill="d9d9d9"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Email</w:t>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C5">
      <w:pPr>
        <w:pStyle w:val="Heading2"/>
        <w:spacing w:after="120" w:line="360" w:lineRule="auto"/>
        <w:ind w:left="0" w:firstLine="0"/>
        <w:rPr>
          <w:sz w:val="22"/>
          <w:szCs w:val="22"/>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Clause 8 does not apply to the service of any proceedings or other documents in any legal action or other method of dispute resolution.</w:t>
      </w:r>
    </w:p>
    <w:p w:rsidR="00000000" w:rsidDel="00000000" w:rsidP="00000000" w:rsidRDefault="00000000" w:rsidRPr="00000000" w14:paraId="000000C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78"/>
        <w:jc w:val="left"/>
        <w:rPr>
          <w:rFonts w:ascii="Arial" w:cs="Arial" w:eastAsia="Arial" w:hAnsi="Arial"/>
          <w:b w:val="1"/>
          <w:i w:val="0"/>
          <w:smallCaps w:val="0"/>
          <w:strike w:val="0"/>
          <w:color w:val="000000"/>
          <w:sz w:val="22"/>
          <w:szCs w:val="22"/>
          <w:u w:val="none"/>
          <w:shd w:fill="auto" w:val="clear"/>
          <w:vertAlign w:val="baseline"/>
        </w:rPr>
      </w:pPr>
      <w:bookmarkStart w:colFirst="0" w:colLast="0" w:name="_2xcytpi" w:id="22"/>
      <w:bookmarkEnd w:id="2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WAIVER AND CUMULATIVE REMEDIES</w:t>
      </w:r>
    </w:p>
    <w:p w:rsidR="00000000" w:rsidDel="00000000" w:rsidP="00000000" w:rsidRDefault="00000000" w:rsidRPr="00000000" w14:paraId="000000C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rights and remedies under this Agreement may be waived only by notice and in a manner that expressly states that a waiver is intended and what is waived.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provided in this Agreement, rights and remedies under this Agreement are cumulative and do not exclude any rights or remedies provided by law, in equity or otherwise.</w:t>
      </w:r>
    </w:p>
    <w:p w:rsidR="00000000" w:rsidDel="00000000" w:rsidP="00000000" w:rsidRDefault="00000000" w:rsidRPr="00000000" w14:paraId="000000C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Party's obligations under this Agreement shall continue in full force and effect for period of [  ] years from the Effective Date.</w:t>
      </w:r>
      <w:r w:rsidDel="00000000" w:rsidR="00000000" w:rsidRPr="00000000">
        <w:rPr>
          <w:rtl w:val="0"/>
        </w:rPr>
      </w:r>
    </w:p>
    <w:p w:rsidR="00000000" w:rsidDel="00000000" w:rsidP="00000000" w:rsidRDefault="00000000" w:rsidRPr="00000000" w14:paraId="000000C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78"/>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GOVERNING LAW AND JURISDICTION</w:t>
      </w:r>
    </w:p>
    <w:p w:rsidR="00000000" w:rsidDel="00000000" w:rsidP="00000000" w:rsidRDefault="00000000" w:rsidRPr="00000000" w14:paraId="000000CD">
      <w:pPr>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rsidR="00000000" w:rsidDel="00000000" w:rsidP="00000000" w:rsidRDefault="00000000" w:rsidRPr="00000000" w14:paraId="000000CE">
      <w:pPr>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that the courts of England and Wales shall have exclusive jurisdiction to settle any dispute or claim (whether contractual or non-contractual) that arises out of or in connection with this Agreement or its subject matter or formation.</w:t>
      </w:r>
    </w:p>
    <w:tbl>
      <w:tblPr>
        <w:tblStyle w:val="Table5"/>
        <w:tblW w:w="9029.0" w:type="dxa"/>
        <w:jc w:val="left"/>
        <w:tblLayout w:type="fixed"/>
        <w:tblLook w:val="0400"/>
      </w:tblPr>
      <w:tblGrid>
        <w:gridCol w:w="4514"/>
        <w:gridCol w:w="4515"/>
        <w:tblGridChange w:id="0">
          <w:tblGrid>
            <w:gridCol w:w="4514"/>
            <w:gridCol w:w="4515"/>
          </w:tblGrid>
        </w:tblGridChange>
      </w:tblGrid>
      <w:tr>
        <w:trPr>
          <w:cantSplit w:val="0"/>
          <w:tblHeader w:val="0"/>
        </w:trPr>
        <w:tc>
          <w:tcPr/>
          <w:p w:rsidR="00000000" w:rsidDel="00000000" w:rsidP="00000000" w:rsidRDefault="00000000" w:rsidRPr="00000000" w14:paraId="000000C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Signed by the Buyer </w:t>
            </w:r>
          </w:p>
          <w:p w:rsidR="00000000" w:rsidDel="00000000" w:rsidP="00000000" w:rsidRDefault="00000000" w:rsidRPr="00000000" w14:paraId="000000D1">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D4">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Name:</w:t>
            </w:r>
          </w:p>
          <w:p w:rsidR="00000000" w:rsidDel="00000000" w:rsidP="00000000" w:rsidRDefault="00000000" w:rsidRPr="00000000" w14:paraId="000000D6">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Signature:</w:t>
            </w:r>
          </w:p>
          <w:p w:rsidR="00000000" w:rsidDel="00000000" w:rsidP="00000000" w:rsidRDefault="00000000" w:rsidRPr="00000000" w14:paraId="000000D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1"/>
              <w:keepLines w:val="1"/>
              <w:spacing w:line="360" w:lineRule="auto"/>
              <w:rPr>
                <w:sz w:val="22"/>
                <w:szCs w:val="22"/>
              </w:rPr>
            </w:pPr>
            <w:r w:rsidDel="00000000" w:rsidR="00000000" w:rsidRPr="00000000">
              <w:rPr>
                <w:sz w:val="22"/>
                <w:szCs w:val="22"/>
                <w:rtl w:val="0"/>
              </w:rPr>
              <w:t xml:space="preserve">Position in Buyer: </w:t>
            </w:r>
          </w:p>
        </w:tc>
      </w:tr>
    </w:tbl>
    <w:p w:rsidR="00000000" w:rsidDel="00000000" w:rsidP="00000000" w:rsidRDefault="00000000" w:rsidRPr="00000000" w14:paraId="000000DA">
      <w:pPr>
        <w:keepNext w:val="1"/>
        <w:keepLines w:val="1"/>
        <w:spacing w:line="360" w:lineRule="auto"/>
        <w:rPr/>
      </w:pPr>
      <w:r w:rsidDel="00000000" w:rsidR="00000000" w:rsidRPr="00000000">
        <w:rPr>
          <w:rtl w:val="0"/>
        </w:rPr>
      </w:r>
    </w:p>
    <w:tbl>
      <w:tblPr>
        <w:tblStyle w:val="Table6"/>
        <w:tblW w:w="9029.0" w:type="dxa"/>
        <w:jc w:val="left"/>
        <w:tblLayout w:type="fixed"/>
        <w:tblLook w:val="0400"/>
      </w:tblPr>
      <w:tblGrid>
        <w:gridCol w:w="4514"/>
        <w:gridCol w:w="4515"/>
        <w:tblGridChange w:id="0">
          <w:tblGrid>
            <w:gridCol w:w="4514"/>
            <w:gridCol w:w="4515"/>
          </w:tblGrid>
        </w:tblGridChange>
      </w:tblGrid>
      <w:tr>
        <w:trPr>
          <w:cantSplit w:val="0"/>
          <w:tblHeader w:val="0"/>
        </w:trPr>
        <w:tc>
          <w:tcPr/>
          <w:p w:rsidR="00000000" w:rsidDel="00000000" w:rsidP="00000000" w:rsidRDefault="00000000" w:rsidRPr="00000000" w14:paraId="000000DB">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Signed by the Supplier </w:t>
            </w:r>
          </w:p>
          <w:p w:rsidR="00000000" w:rsidDel="00000000" w:rsidP="00000000" w:rsidRDefault="00000000" w:rsidRPr="00000000" w14:paraId="000000DE">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E1">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Name:</w:t>
            </w:r>
          </w:p>
          <w:p w:rsidR="00000000" w:rsidDel="00000000" w:rsidP="00000000" w:rsidRDefault="00000000" w:rsidRPr="00000000" w14:paraId="000000E4">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Signature:</w:t>
            </w:r>
          </w:p>
          <w:p w:rsidR="00000000" w:rsidDel="00000000" w:rsidP="00000000" w:rsidRDefault="00000000" w:rsidRPr="00000000" w14:paraId="000000E6">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1"/>
              <w:keepLines w:val="1"/>
              <w:spacing w:line="360" w:lineRule="auto"/>
              <w:rPr/>
            </w:pPr>
            <w:r w:rsidDel="00000000" w:rsidR="00000000" w:rsidRPr="00000000">
              <w:rPr>
                <w:sz w:val="22"/>
                <w:szCs w:val="22"/>
                <w:rtl w:val="0"/>
              </w:rPr>
              <w:t xml:space="preserve">Position in Supplier:</w:t>
            </w:r>
            <w:r w:rsidDel="00000000" w:rsidR="00000000" w:rsidRPr="00000000">
              <w:rPr>
                <w:rtl w:val="0"/>
              </w:rPr>
            </w:r>
          </w:p>
        </w:tc>
      </w:tr>
    </w:tbl>
    <w:p w:rsidR="00000000" w:rsidDel="00000000" w:rsidP="00000000" w:rsidRDefault="00000000" w:rsidRPr="00000000" w14:paraId="000000E8">
      <w:pPr>
        <w:spacing w:line="360" w:lineRule="auto"/>
        <w:rPr/>
      </w:pPr>
      <w:r w:rsidDel="00000000" w:rsidR="00000000" w:rsidRPr="00000000">
        <w:rPr>
          <w:rtl w:val="0"/>
        </w:rPr>
      </w:r>
    </w:p>
    <w:sectPr>
      <w:headerReference r:id="rId9" w:type="first"/>
      <w:headerReference r:id="rId10" w:type="even"/>
      <w:footerReference r:id="rId11" w:type="default"/>
      <w:footerReference r:id="rId12" w:type="first"/>
      <w:footerReference r:id="rId13" w:type="even"/>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SimSu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513"/>
        <w:tab w:val="right" w:leader="none" w:pos="9026"/>
        <w:tab w:val="right" w:leader="none" w:pos="9090"/>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Version 1.0</w:t>
      <w:tab/>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513"/>
        <w:tab w:val="right" w:leader="none" w:pos="9026"/>
        <w:tab w:val="right" w:leader="none" w:pos="9090"/>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Version 1.0</w:t>
      <w:tab/>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513"/>
        <w:tab w:val="right" w:leader="none" w:pos="9026"/>
        <w:tab w:val="right" w:leader="none" w:pos="9090"/>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Version 1.0</w:t>
      <w:tab/>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right" w:leader="none" w:pos="9000"/>
      </w:tabs>
      <w:rPr/>
    </w:pP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720" w:hanging="720"/>
      </w:pPr>
      <w:rPr/>
    </w:lvl>
    <w:lvl w:ilvl="2">
      <w:start w:val="1"/>
      <w:numFmt w:val="decimal"/>
      <w:lvlText w:val="%2.%3"/>
      <w:lvlJc w:val="left"/>
      <w:pPr>
        <w:ind w:left="720" w:hanging="720"/>
      </w:pPr>
      <w:rPr>
        <w:sz w:val="22"/>
        <w:szCs w:val="22"/>
      </w:rPr>
    </w:lvl>
    <w:lvl w:ilvl="3">
      <w:start w:val="1"/>
      <w:numFmt w:val="decimal"/>
      <w:lvlText w:val="%2.%3.%4"/>
      <w:lvlJc w:val="left"/>
      <w:pPr>
        <w:ind w:left="720" w:hanging="720"/>
      </w:pPr>
      <w:rPr>
        <w:b w:val="0"/>
        <w:i w:val="0"/>
      </w:rPr>
    </w:lvl>
    <w:lvl w:ilvl="4">
      <w:start w:val="1"/>
      <w:numFmt w:val="lowerLetter"/>
      <w:lvlText w:val="(%5)"/>
      <w:lvlJc w:val="left"/>
      <w:pPr>
        <w:ind w:left="1440" w:hanging="720"/>
      </w:pPr>
      <w:rPr>
        <w:b w:val="0"/>
        <w:i w:val="0"/>
      </w:rPr>
    </w:lvl>
    <w:lvl w:ilvl="5">
      <w:start w:val="1"/>
      <w:numFmt w:val="lowerRoman"/>
      <w:lvlText w:val="(%6)"/>
      <w:lvlJc w:val="left"/>
      <w:pPr>
        <w:ind w:left="2160" w:hanging="720"/>
      </w:pPr>
      <w:rPr/>
    </w:lvl>
    <w:lvl w:ilvl="6">
      <w:start w:val="1"/>
      <w:numFmt w:val="upperLetter"/>
      <w:lvlText w:val="(%7)"/>
      <w:lvlJc w:val="left"/>
      <w:pPr>
        <w:ind w:left="2880" w:hanging="720"/>
      </w:pPr>
      <w:rPr/>
    </w:lvl>
    <w:lvl w:ilvl="7">
      <w:start w:val="1"/>
      <w:numFmt w:val="decimal"/>
      <w:lvlText w:val="%8)"/>
      <w:lvlJc w:val="left"/>
      <w:pPr>
        <w:ind w:left="3600" w:hanging="720"/>
      </w:pPr>
      <w:rPr/>
    </w:lvl>
    <w:lvl w:ilvl="8">
      <w:start w:val="1"/>
      <w:numFmt w:val="lowerLetter"/>
      <w:lvlText w:val="%9)"/>
      <w:lvlJc w:val="left"/>
      <w:pPr>
        <w:ind w:left="4321" w:hanging="721"/>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916" w:hanging="360"/>
      </w:pPr>
      <w:rPr/>
    </w:lvl>
    <w:lvl w:ilvl="1">
      <w:start w:val="1"/>
      <w:numFmt w:val="lowerLetter"/>
      <w:lvlText w:val="%2."/>
      <w:lvlJc w:val="left"/>
      <w:pPr>
        <w:ind w:left="1636" w:hanging="360"/>
      </w:pPr>
      <w:rPr/>
    </w:lvl>
    <w:lvl w:ilvl="2">
      <w:start w:val="1"/>
      <w:numFmt w:val="lowerRoman"/>
      <w:lvlText w:val="%3."/>
      <w:lvlJc w:val="right"/>
      <w:pPr>
        <w:ind w:left="2356" w:hanging="180"/>
      </w:pPr>
      <w:rPr/>
    </w:lvl>
    <w:lvl w:ilvl="3">
      <w:start w:val="1"/>
      <w:numFmt w:val="decimal"/>
      <w:lvlText w:val="%4."/>
      <w:lvlJc w:val="left"/>
      <w:pPr>
        <w:ind w:left="3076" w:hanging="360"/>
      </w:pPr>
      <w:rPr/>
    </w:lvl>
    <w:lvl w:ilvl="4">
      <w:start w:val="1"/>
      <w:numFmt w:val="lowerLetter"/>
      <w:lvlText w:val="%5."/>
      <w:lvlJc w:val="left"/>
      <w:pPr>
        <w:ind w:left="3796" w:hanging="360"/>
      </w:pPr>
      <w:rPr/>
    </w:lvl>
    <w:lvl w:ilvl="5">
      <w:start w:val="1"/>
      <w:numFmt w:val="lowerRoman"/>
      <w:lvlText w:val="%6."/>
      <w:lvlJc w:val="right"/>
      <w:pPr>
        <w:ind w:left="4516" w:hanging="180"/>
      </w:pPr>
      <w:rPr/>
    </w:lvl>
    <w:lvl w:ilvl="6">
      <w:start w:val="1"/>
      <w:numFmt w:val="decimal"/>
      <w:lvlText w:val="%7."/>
      <w:lvlJc w:val="left"/>
      <w:pPr>
        <w:ind w:left="5236" w:hanging="360"/>
      </w:pPr>
      <w:rPr/>
    </w:lvl>
    <w:lvl w:ilvl="7">
      <w:start w:val="1"/>
      <w:numFmt w:val="lowerLetter"/>
      <w:lvlText w:val="%8."/>
      <w:lvlJc w:val="left"/>
      <w:pPr>
        <w:ind w:left="5956" w:hanging="360"/>
      </w:pPr>
      <w:rPr/>
    </w:lvl>
    <w:lvl w:ilvl="8">
      <w:start w:val="1"/>
      <w:numFmt w:val="lowerRoman"/>
      <w:lvlText w:val="%9."/>
      <w:lvlJc w:val="right"/>
      <w:pPr>
        <w:ind w:left="6676" w:hanging="180"/>
      </w:pPr>
      <w:rPr/>
    </w:lvl>
  </w:abstractNum>
  <w:abstractNum w:abstractNumId="4">
    <w:lvl w:ilvl="0">
      <w:start w:val="1"/>
      <w:numFmt w:val="decimal"/>
      <w:lvlText w:val="(%1)"/>
      <w:lvlJc w:val="left"/>
      <w:pPr>
        <w:ind w:left="720" w:hanging="720"/>
      </w:pPr>
      <w:rPr>
        <w:b w:val="0"/>
        <w:i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color w:val="51216c"/>
      <w:sz w:val="28"/>
      <w:szCs w:val="28"/>
    </w:rPr>
  </w:style>
  <w:style w:type="paragraph" w:styleId="Heading2">
    <w:name w:val="heading 2"/>
    <w:basedOn w:val="Normal"/>
    <w:next w:val="Normal"/>
    <w:pPr>
      <w:keepNext w:val="1"/>
      <w:spacing w:after="240" w:lineRule="auto"/>
      <w:ind w:left="720"/>
    </w:pPr>
    <w:rPr/>
  </w:style>
  <w:style w:type="paragraph" w:styleId="Heading3">
    <w:name w:val="heading 3"/>
    <w:basedOn w:val="Normal"/>
    <w:next w:val="Normal"/>
    <w:pPr>
      <w:spacing w:after="240" w:lineRule="auto"/>
      <w:ind w:left="720" w:hanging="720"/>
    </w:pPr>
    <w:rPr/>
  </w:style>
  <w:style w:type="paragraph" w:styleId="Heading4">
    <w:name w:val="heading 4"/>
    <w:basedOn w:val="Normal"/>
    <w:next w:val="Normal"/>
    <w:pPr>
      <w:spacing w:after="240" w:lineRule="auto"/>
      <w:ind w:left="1440" w:hanging="720"/>
    </w:pPr>
    <w:rPr/>
  </w:style>
  <w:style w:type="paragraph" w:styleId="Heading5">
    <w:name w:val="heading 5"/>
    <w:basedOn w:val="Normal"/>
    <w:next w:val="Normal"/>
    <w:pPr>
      <w:spacing w:after="240" w:lineRule="auto"/>
      <w:ind w:left="2160" w:hanging="720"/>
    </w:pPr>
    <w:rPr/>
  </w:style>
  <w:style w:type="paragraph" w:styleId="Heading6">
    <w:name w:val="heading 6"/>
    <w:basedOn w:val="Normal"/>
    <w:next w:val="Normal"/>
    <w:pPr>
      <w:spacing w:after="240" w:lineRule="auto"/>
      <w:ind w:left="2880" w:hanging="720"/>
    </w:pPr>
    <w:rPr/>
  </w:style>
  <w:style w:type="paragraph" w:styleId="Title">
    <w:name w:val="Title"/>
    <w:basedOn w:val="Normal"/>
    <w:next w:val="Normal"/>
    <w:pPr>
      <w:spacing w:after="60" w:before="240" w:lineRule="auto"/>
      <w:jc w:val="center"/>
    </w:pPr>
    <w:rPr>
      <w:b w:val="1"/>
      <w:sz w:val="32"/>
      <w:szCs w:val="32"/>
    </w:rPr>
  </w:style>
  <w:style w:type="paragraph" w:styleId="Subtitle">
    <w:name w:val="Subtitle"/>
    <w:basedOn w:val="Normal"/>
    <w:next w:val="Normal"/>
    <w:pPr>
      <w:spacing w:after="60" w:lineRule="auto"/>
      <w:jc w:val="center"/>
    </w:pPr>
    <w:rPr>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4.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5.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dc88da3e-422a-4cc2-822b-5a2accbbff9a</vt:lpwstr>
  </property>
  <property fmtid="{D5CDD505-2E9C-101B-9397-08002B2CF9AE}" pid="3" name="TaxKeyword">
    <vt:lpwstr>TaxKeyword</vt:lpwstr>
  </property>
  <property fmtid="{D5CDD505-2E9C-101B-9397-08002B2CF9AE}" pid="4" name="ContentTypeId">
    <vt:lpwstr>0x0101007CF220435DD1B5498242DAEA51AE7D95</vt:lpwstr>
  </property>
  <property fmtid="{D5CDD505-2E9C-101B-9397-08002B2CF9AE}" pid="5" name="_dlc_DocIdItemGuid">
    <vt:lpwstr>9b2ca333-4664-416d-957b-635ded724671</vt:lpwstr>
  </property>
  <property fmtid="{D5CDD505-2E9C-101B-9397-08002B2CF9AE}" pid="6" name="_ExtendedDescription">
    <vt:lpwstr>_ExtendedDescription</vt:lpwstr>
  </property>
</Properties>
</file>